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000000" w:rsidRPr="00000000" w:rsidP="00000000">
      <w:pPr>
        <w:jc w:val="center"/>
        <w:rPr>
          <w:b/>
          <w:sz w:val="24"/>
          <w:szCs w:val="24"/>
        </w:rPr>
      </w:pPr>
      <w:r w:rsidRPr="00000000">
        <w:rPr>
          <w:b/>
          <w:sz w:val="24"/>
          <w:szCs w:val="24"/>
          <w:rtl w:val="0"/>
        </w:rPr>
        <w:t>ELMADAĞ MOBİLYACILAR İHTİSAS ORGANİZE SANAYİ BÖLGESİ</w:t>
      </w:r>
    </w:p>
    <w:p w:rsidR="00000000" w:rsidRPr="00000000" w:rsidP="00000000">
      <w:pPr>
        <w:jc w:val="center"/>
        <w:rPr>
          <w:b/>
          <w:sz w:val="24"/>
          <w:szCs w:val="24"/>
        </w:rPr>
      </w:pPr>
      <w:r w:rsidRPr="00000000">
        <w:rPr>
          <w:b/>
          <w:sz w:val="24"/>
          <w:szCs w:val="24"/>
          <w:rtl w:val="0"/>
        </w:rPr>
        <w:t>SANAYİ PARSELİ YATIRIM TAAHHÜTNAMESİ</w:t>
      </w:r>
    </w:p>
    <w:p w:rsidR="00000000" w:rsidRPr="00000000" w:rsidP="00000000">
      <w:pPr>
        <w:jc w:val="both"/>
        <w:rPr>
          <w:b/>
          <w:sz w:val="24"/>
          <w:szCs w:val="24"/>
        </w:rPr>
      </w:pPr>
      <w:r w:rsidRPr="00000000">
        <w:rPr>
          <w:b/>
          <w:sz w:val="24"/>
          <w:szCs w:val="24"/>
          <w:rtl w:val="0"/>
        </w:rPr>
        <w:t xml:space="preserve"> </w:t>
      </w:r>
    </w:p>
    <w:p w:rsidR="00000000" w:rsidRPr="00000000" w:rsidP="00000000">
      <w:pPr>
        <w:jc w:val="both"/>
        <w:rPr>
          <w:b/>
        </w:rPr>
      </w:pPr>
      <w:r w:rsidRPr="00000000">
        <w:rPr>
          <w:b/>
          <w:rtl w:val="0"/>
        </w:rPr>
        <w:t>MADDE 1-</w:t>
      </w:r>
      <w:r w:rsidRPr="00000000">
        <w:rPr>
          <w:rtl w:val="0"/>
        </w:rPr>
        <w:t xml:space="preserve"> 12/4/2000 tarihli ve 4562 sayılı Organize Sanayi Bölgeleri Kanununun 18. inci maddesine istinaden 333 Sicil nolu Elmadağ Mobilyacılar İhtisas Organize Sanayi Bölgesi tarafından Ankara ili, Elmadağ ilçesi, Yenimahalle mahallesi EMİOSB </w:t>
      </w:r>
      <w:r w:rsidRPr="00000000">
        <w:rPr>
          <w:b/>
          <w:color w:val="FF0000"/>
          <w:rtl w:val="0"/>
        </w:rPr>
        <w:t>........................ ada   …………… parsel</w:t>
      </w:r>
      <w:r w:rsidRPr="00000000">
        <w:rPr>
          <w:color w:val="FF0000"/>
          <w:rtl w:val="0"/>
        </w:rPr>
        <w:t xml:space="preserve"> </w:t>
      </w:r>
      <w:r w:rsidRPr="00000000">
        <w:rPr>
          <w:rtl w:val="0"/>
        </w:rPr>
        <w:t>yatırımcıya tahsis edilecektir.</w:t>
      </w:r>
    </w:p>
    <w:p w:rsidR="00000000" w:rsidRPr="00000000" w:rsidP="00000000">
      <w:pPr>
        <w:jc w:val="both"/>
        <w:rPr>
          <w:b/>
        </w:rPr>
      </w:pPr>
    </w:p>
    <w:p w:rsidR="00000000" w:rsidRPr="00000000" w:rsidP="00000000">
      <w:pPr>
        <w:jc w:val="both"/>
        <w:rPr>
          <w:b/>
        </w:rPr>
      </w:pPr>
      <w:r w:rsidRPr="00000000">
        <w:rPr>
          <w:b/>
          <w:rtl w:val="0"/>
        </w:rPr>
        <w:t>MADDE 2- YATIRIMCININ UNVANI :</w:t>
      </w:r>
    </w:p>
    <w:p w:rsidR="00000000" w:rsidRPr="00000000" w:rsidP="00000000">
      <w:pPr>
        <w:jc w:val="both"/>
        <w:rPr>
          <w:b/>
        </w:rPr>
      </w:pPr>
      <w:r w:rsidRPr="00000000">
        <w:rPr>
          <w:b/>
          <w:rtl w:val="0"/>
        </w:rPr>
        <w:t>VERGİ DAİRESİ:</w:t>
      </w:r>
    </w:p>
    <w:p w:rsidR="00000000" w:rsidRPr="00000000" w:rsidP="00000000">
      <w:pPr>
        <w:jc w:val="both"/>
        <w:rPr>
          <w:b/>
        </w:rPr>
      </w:pPr>
      <w:r w:rsidRPr="00000000">
        <w:rPr>
          <w:b/>
          <w:rtl w:val="0"/>
        </w:rPr>
        <w:t>VERGİ NO:</w:t>
      </w:r>
    </w:p>
    <w:p w:rsidR="00000000" w:rsidRPr="00000000" w:rsidP="00000000">
      <w:pPr>
        <w:jc w:val="both"/>
        <w:rPr>
          <w:b/>
        </w:rPr>
      </w:pPr>
      <w:r w:rsidRPr="00000000">
        <w:rPr>
          <w:b/>
          <w:rtl w:val="0"/>
        </w:rPr>
        <w:t>İLETİŞİM ADRESİ:</w:t>
      </w:r>
    </w:p>
    <w:p w:rsidR="00000000" w:rsidRPr="00000000" w:rsidP="00000000">
      <w:pPr>
        <w:jc w:val="both"/>
        <w:rPr>
          <w:b/>
        </w:rPr>
      </w:pPr>
    </w:p>
    <w:p w:rsidR="00000000" w:rsidRPr="00000000" w:rsidP="00000000">
      <w:pPr>
        <w:jc w:val="both"/>
        <w:rPr>
          <w:b/>
        </w:rPr>
      </w:pPr>
      <w:r w:rsidRPr="00000000">
        <w:rPr>
          <w:b/>
          <w:rtl w:val="0"/>
        </w:rPr>
        <w:t>YETKİLİ KİŞİ 1:</w:t>
      </w:r>
    </w:p>
    <w:p w:rsidR="00000000" w:rsidRPr="00000000" w:rsidP="00000000">
      <w:pPr>
        <w:jc w:val="both"/>
        <w:rPr>
          <w:b/>
        </w:rPr>
      </w:pPr>
      <w:r w:rsidRPr="00000000">
        <w:rPr>
          <w:b/>
          <w:rtl w:val="0"/>
        </w:rPr>
        <w:t>YETKİLİ KİŞİ TC:</w:t>
      </w:r>
    </w:p>
    <w:p w:rsidR="00000000" w:rsidRPr="00000000" w:rsidP="00000000">
      <w:pPr>
        <w:jc w:val="both"/>
        <w:rPr>
          <w:b/>
        </w:rPr>
      </w:pPr>
      <w:r w:rsidRPr="00000000">
        <w:rPr>
          <w:b/>
          <w:rtl w:val="0"/>
        </w:rPr>
        <w:t>YETKİLİ KİŞİ GSM:</w:t>
      </w:r>
    </w:p>
    <w:p w:rsidR="00000000" w:rsidRPr="00000000" w:rsidP="00000000">
      <w:pPr>
        <w:jc w:val="both"/>
        <w:rPr>
          <w:b/>
        </w:rPr>
      </w:pPr>
    </w:p>
    <w:p w:rsidR="00000000" w:rsidRPr="00000000" w:rsidP="00000000">
      <w:pPr>
        <w:jc w:val="both"/>
        <w:rPr>
          <w:b/>
        </w:rPr>
      </w:pPr>
      <w:r w:rsidRPr="00000000">
        <w:rPr>
          <w:b/>
          <w:rtl w:val="0"/>
        </w:rPr>
        <w:t>YETKİLİ KİŞİ 2:</w:t>
      </w:r>
    </w:p>
    <w:p w:rsidR="00000000" w:rsidRPr="00000000" w:rsidP="00000000">
      <w:pPr>
        <w:jc w:val="both"/>
        <w:rPr>
          <w:b/>
        </w:rPr>
      </w:pPr>
      <w:r w:rsidRPr="00000000">
        <w:rPr>
          <w:b/>
          <w:rtl w:val="0"/>
        </w:rPr>
        <w:t>YETKİLİ KİŞİ TC:</w:t>
      </w:r>
    </w:p>
    <w:p w:rsidR="00000000" w:rsidRPr="00000000" w:rsidP="00000000">
      <w:pPr>
        <w:jc w:val="both"/>
        <w:rPr>
          <w:b/>
        </w:rPr>
      </w:pPr>
      <w:r w:rsidRPr="00000000">
        <w:rPr>
          <w:b/>
          <w:rtl w:val="0"/>
        </w:rPr>
        <w:t>YETKİLİ KİŞİ GSM:</w:t>
      </w:r>
    </w:p>
    <w:p w:rsidR="00000000" w:rsidRPr="00000000" w:rsidP="00000000">
      <w:pPr>
        <w:jc w:val="both"/>
        <w:rPr>
          <w:b/>
        </w:rPr>
      </w:pPr>
    </w:p>
    <w:p w:rsidR="00000000" w:rsidRPr="00000000" w:rsidP="00000000">
      <w:pPr>
        <w:jc w:val="both"/>
        <w:rPr>
          <w:b/>
        </w:rPr>
      </w:pPr>
      <w:r w:rsidRPr="00000000">
        <w:rPr>
          <w:b/>
          <w:rtl w:val="0"/>
        </w:rPr>
        <w:t>YETKİLİ KİŞİ 3:</w:t>
      </w:r>
    </w:p>
    <w:p w:rsidR="00000000" w:rsidRPr="00000000" w:rsidP="00000000">
      <w:pPr>
        <w:jc w:val="both"/>
        <w:rPr>
          <w:b/>
        </w:rPr>
      </w:pPr>
      <w:r w:rsidRPr="00000000">
        <w:rPr>
          <w:b/>
          <w:rtl w:val="0"/>
        </w:rPr>
        <w:t>YETKİLİ KİŞİ TC:</w:t>
      </w:r>
    </w:p>
    <w:p w:rsidR="00000000" w:rsidRPr="00000000" w:rsidP="00000000">
      <w:pPr>
        <w:jc w:val="both"/>
        <w:rPr>
          <w:b/>
        </w:rPr>
      </w:pPr>
      <w:r w:rsidRPr="00000000">
        <w:rPr>
          <w:b/>
          <w:rtl w:val="0"/>
        </w:rPr>
        <w:t>YETKİLİ KİŞİ GSM:</w:t>
      </w:r>
    </w:p>
    <w:p w:rsidR="00000000" w:rsidRPr="00000000" w:rsidP="00000000">
      <w:pPr>
        <w:jc w:val="both"/>
        <w:rPr>
          <w:b/>
        </w:rPr>
      </w:pPr>
    </w:p>
    <w:p w:rsidR="00000000" w:rsidRPr="00000000" w:rsidP="00000000">
      <w:pPr>
        <w:jc w:val="both"/>
        <w:rPr>
          <w:b/>
          <w:color w:val="FF0000"/>
        </w:rPr>
      </w:pPr>
      <w:r w:rsidRPr="00000000">
        <w:rPr>
          <w:b/>
          <w:color w:val="FF0000"/>
          <w:rtl w:val="0"/>
        </w:rPr>
        <w:t>(Varsa tüm yetkili kişilerin bilgileri girilecektir, NOTER İNCELER)</w:t>
      </w:r>
    </w:p>
    <w:p w:rsidR="00000000" w:rsidRPr="00000000" w:rsidP="00000000">
      <w:pPr>
        <w:jc w:val="both"/>
        <w:rPr>
          <w:b/>
        </w:rPr>
      </w:pPr>
      <w:r w:rsidRPr="00000000">
        <w:rPr>
          <w:b/>
          <w:rtl w:val="0"/>
        </w:rPr>
        <w:t xml:space="preserve"> </w:t>
      </w:r>
    </w:p>
    <w:p w:rsidR="00000000" w:rsidRPr="00000000" w:rsidP="00000000">
      <w:pPr>
        <w:jc w:val="both"/>
        <w:rPr>
          <w:b/>
        </w:rPr>
      </w:pPr>
      <w:r w:rsidRPr="00000000">
        <w:rPr>
          <w:b/>
          <w:rtl w:val="0"/>
        </w:rPr>
        <w:t>MADDE 3- YATIRIMIN KONUSU</w:t>
      </w:r>
    </w:p>
    <w:p w:rsidR="00000000" w:rsidRPr="00000000" w:rsidP="00000000">
      <w:pPr>
        <w:jc w:val="both"/>
      </w:pPr>
      <w:r w:rsidRPr="00000000">
        <w:rPr>
          <w:rtl w:val="0"/>
        </w:rPr>
        <w:t>Mobilya ve tamamlayıcı sektör grupları üretimi</w:t>
      </w:r>
    </w:p>
    <w:p w:rsidR="00000000" w:rsidRPr="00000000" w:rsidP="00000000">
      <w:pPr>
        <w:jc w:val="both"/>
        <w:rPr>
          <w:b/>
        </w:rPr>
      </w:pPr>
      <w:r w:rsidRPr="00000000">
        <w:rPr>
          <w:b/>
          <w:rtl w:val="0"/>
        </w:rPr>
        <w:t xml:space="preserve"> </w:t>
      </w:r>
    </w:p>
    <w:p w:rsidR="00000000" w:rsidRPr="00000000" w:rsidP="00000000">
      <w:pPr>
        <w:jc w:val="both"/>
        <w:rPr>
          <w:b/>
        </w:rPr>
      </w:pPr>
      <w:r w:rsidRPr="00000000">
        <w:rPr>
          <w:b/>
          <w:rtl w:val="0"/>
        </w:rPr>
        <w:t>MADDE 4- YATIRIMA BAŞLAMA TARİHİ</w:t>
      </w:r>
    </w:p>
    <w:p w:rsidR="00000000" w:rsidRPr="00000000" w:rsidP="00000000">
      <w:r w:rsidRPr="00000000">
        <w:rPr>
          <w:rtl w:val="0"/>
        </w:rPr>
        <w:t>Osb’nin altyapı inşaatı bitiş ilanından itibaren 1 yıl içinde yapı ruhsat izni alıp inşaata başlayacağımı taahhüt ederim</w:t>
      </w:r>
    </w:p>
    <w:p w:rsidR="00000000" w:rsidRPr="00000000" w:rsidP="00000000">
      <w:pPr>
        <w:jc w:val="both"/>
        <w:rPr>
          <w:b/>
        </w:rPr>
      </w:pPr>
      <w:r w:rsidRPr="00000000">
        <w:rPr>
          <w:b/>
          <w:rtl w:val="0"/>
        </w:rPr>
        <w:t xml:space="preserve"> </w:t>
      </w:r>
    </w:p>
    <w:p w:rsidR="00000000" w:rsidRPr="00000000" w:rsidP="00000000">
      <w:pPr>
        <w:jc w:val="both"/>
        <w:rPr>
          <w:b/>
        </w:rPr>
      </w:pPr>
      <w:r w:rsidRPr="00000000">
        <w:rPr>
          <w:b/>
          <w:rtl w:val="0"/>
        </w:rPr>
        <w:t>MADDE 5- YATIRIMIN FAALİYETE GEÇECEĞİ TARİH</w:t>
      </w:r>
    </w:p>
    <w:p w:rsidR="00000000" w:rsidRPr="00000000" w:rsidP="00000000">
      <w:pPr>
        <w:ind w:firstLine="7"/>
        <w:jc w:val="both"/>
      </w:pPr>
      <w:r w:rsidRPr="00000000">
        <w:rPr>
          <w:rtl w:val="0"/>
        </w:rPr>
        <w:t>Yapı ruhsatını aldığım tarihten itibaren 2 yıl içinde işletme ruhsatımı alıp faaliyete</w:t>
      </w:r>
    </w:p>
    <w:p w:rsidR="00000000" w:rsidRPr="00000000" w:rsidP="00000000">
      <w:pPr>
        <w:ind w:firstLine="7"/>
        <w:jc w:val="both"/>
        <w:rPr>
          <w:b/>
        </w:rPr>
      </w:pPr>
      <w:r w:rsidRPr="00000000">
        <w:rPr>
          <w:rtl w:val="0"/>
        </w:rPr>
        <w:t>Geçeceğimi ve ilgili kanun gereği faaliyete geçmeden tapu talep edemeyeceğimi bildiğimi taahhüt ederim</w:t>
      </w:r>
    </w:p>
    <w:p w:rsidR="00000000" w:rsidRPr="00000000" w:rsidP="00000000">
      <w:pPr>
        <w:jc w:val="both"/>
      </w:pPr>
      <w:r w:rsidRPr="00000000">
        <w:rPr>
          <w:rtl w:val="0"/>
        </w:rPr>
        <w:t xml:space="preserve"> </w:t>
      </w:r>
    </w:p>
    <w:p w:rsidR="00000000" w:rsidRPr="00000000" w:rsidP="00000000">
      <w:pPr>
        <w:jc w:val="both"/>
        <w:rPr>
          <w:b/>
        </w:rPr>
      </w:pPr>
      <w:r w:rsidRPr="00000000">
        <w:rPr>
          <w:b/>
          <w:rtl w:val="0"/>
        </w:rPr>
        <w:t>MADDE 6-</w:t>
      </w:r>
      <w:r w:rsidRPr="00000000">
        <w:rPr>
          <w:rtl w:val="0"/>
        </w:rPr>
        <w:t xml:space="preserve"> </w:t>
      </w:r>
      <w:r w:rsidRPr="00000000">
        <w:rPr>
          <w:b/>
          <w:rtl w:val="0"/>
        </w:rPr>
        <w:t>İSTİHDAM DARALTICI PLAN VE PROJE TADİLATI YAPMAMA YÜKÜMLÜLÜĞÜ</w:t>
      </w:r>
    </w:p>
    <w:p w:rsidR="00000000" w:rsidRPr="00000000" w:rsidP="00000000">
      <w:pPr>
        <w:jc w:val="both"/>
      </w:pPr>
      <w:r w:rsidRPr="00000000">
        <w:rPr>
          <w:rtl w:val="0"/>
        </w:rPr>
        <w:t>Yatırımcı, istihdamı daraltacak plan ve proje tadilatına gidemez.</w:t>
      </w:r>
    </w:p>
    <w:p w:rsidR="00000000" w:rsidRPr="00000000" w:rsidP="00000000">
      <w:pPr>
        <w:jc w:val="both"/>
      </w:pPr>
    </w:p>
    <w:p w:rsidR="00000000" w:rsidRPr="00000000" w:rsidP="00000000">
      <w:pPr>
        <w:jc w:val="both"/>
        <w:rPr>
          <w:b/>
        </w:rPr>
      </w:pPr>
      <w:r w:rsidRPr="00000000">
        <w:rPr>
          <w:b/>
          <w:rtl w:val="0"/>
        </w:rPr>
        <w:t>MADDE 7-</w:t>
      </w:r>
      <w:r w:rsidRPr="00000000">
        <w:rPr>
          <w:rtl w:val="0"/>
        </w:rPr>
        <w:t xml:space="preserve"> </w:t>
      </w:r>
      <w:r w:rsidRPr="00000000">
        <w:rPr>
          <w:b/>
          <w:rtl w:val="0"/>
        </w:rPr>
        <w:t>İNŞAAT VE İŞLETMENİN KONTROLÜNE İZİN VERME YÜKÜMLÜLÜĞÜ</w:t>
      </w:r>
    </w:p>
    <w:p w:rsidR="00000000" w:rsidRPr="00000000" w:rsidP="00000000">
      <w:pPr>
        <w:jc w:val="both"/>
      </w:pPr>
      <w:r w:rsidRPr="00000000">
        <w:rPr>
          <w:rtl w:val="0"/>
        </w:rPr>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p>
    <w:p w:rsidR="00000000" w:rsidRPr="00000000" w:rsidP="00000000">
      <w:pPr>
        <w:jc w:val="both"/>
      </w:pPr>
    </w:p>
    <w:p w:rsidR="00000000" w:rsidRPr="00000000" w:rsidP="00000000">
      <w:pPr>
        <w:jc w:val="both"/>
        <w:rPr>
          <w:b/>
        </w:rPr>
      </w:pPr>
      <w:r w:rsidRPr="00000000">
        <w:rPr>
          <w:b/>
          <w:rtl w:val="0"/>
        </w:rPr>
        <w:t>MADDE 8-</w:t>
      </w:r>
      <w:r w:rsidRPr="00000000">
        <w:rPr>
          <w:rtl w:val="0"/>
        </w:rPr>
        <w:t xml:space="preserve"> </w:t>
      </w:r>
      <w:r w:rsidRPr="00000000">
        <w:rPr>
          <w:b/>
          <w:rtl w:val="0"/>
        </w:rPr>
        <w:t>DİĞER</w:t>
      </w:r>
      <w:r w:rsidRPr="00000000">
        <w:rPr>
          <w:rtl w:val="0"/>
        </w:rPr>
        <w:t xml:space="preserve"> </w:t>
      </w:r>
      <w:r w:rsidRPr="00000000">
        <w:rPr>
          <w:b/>
          <w:rtl w:val="0"/>
        </w:rPr>
        <w:t>YÜKÜMLÜLÜKLER</w:t>
      </w:r>
    </w:p>
    <w:p w:rsidR="00000000" w:rsidRPr="00000000" w:rsidP="00000000">
      <w:pPr>
        <w:ind w:firstLine="860"/>
        <w:jc w:val="both"/>
      </w:pPr>
      <w:r w:rsidRPr="00000000">
        <w:rPr>
          <w:rtl w:val="0"/>
        </w:rPr>
        <w:t>Yatırımcı, tahsis edilen parsel üzerine ipotek konulması veya kaldırılması ile tapuya ilişkin diğer işlemlerle ilgili her türlü vergi, resim, harç, katılma payı ve katkı payı, yönetim giderleri, altyapı masrafları, aidat gibi OSB yönetimi tarafından karar verilecek tüm diğer masrafları karşılamak zorundadır. Yatırımcı, kendisine tahsis olunan parselde kayıtlı gayrimenkul üzerinde, mevzuatta öngörülen süreler içerisinde yatırıma başlanılacağını, yapı ruhsatı tarihinden itibaren iki yıl içerisinde işyeri açma ve çalışma ruhsatının alınacağını, 4562 Sayılı Kanunun 18. OSB Uygulama Yönetmeliğinin 58/1-b maddeleri gereğince, bölgede yapılacak diğer yatırımlara itirazsız olarak katılacağını, tesisin kiralanması halinde OSB Uygulama Yönetmeliği’nin 63 üncü maddesine uygun olarak Bölgeye gerekli başvuruyu yapacağını, OSB Yönetim Kurulunun uygunluk kararı alınmadan kiralama yapamayacağını, buna aykırılık halinde Bölge tarafından uygulanacak elektrik, su, doğalgaz kesintisi dahil her türlü yaptırımlardan sorumlu olacağını, istinat duvarları ile OSB Uygulama Yönetmeliğinin 43/f-3 maddesi gereğince, parseller arasındaki mevcut ortak ve/veya münferid duvar bedelini hissemiz oranında ilgililere ödeyeceğini, duvar yapımından önce duvar projelerinin Bölgeye onaylatacağını, tahsis edilen parselin; 3194 sayılı İmar Kanunu ve buna ilişkin yönetmelikler uyarınca 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karşılayacağını, inşaat aşamasında altyapı ve üstyapılara verilecek tüm zarar ve ziyanları, Bölgenin belirleyeceği bedeller üzerinden itirazsız ödeyeceğini, söz konusu sanayi parselindeki faaliyetlerle ilgili olarak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uyacağını, lojistik hizmetlerinde kullanılan tüm araçların Bölge tarafından gösterilen alana park edilmesini sağlayacağını,  bu park alanının kullanılması ile ilgili Bölge tarafından kira bedeli ödenmesi öngörülmesi halinde, karşılıklı anlaşma neticesinde bu kira bedelini Bölgeye ödeyeceğini, bu konuyla ilgili Bölge Yönetimi ve Bölge Müdürlüğü tarafından alınan kararlara uygun hareket edeceğini, faaliyet konusu dışında veya faaliyet konusu ile ilgili olarak, parselde bulundurulması zaruri yanıcı, patlayıcı, parlayıcı, yangına yol açabilecek malzemeler ilgili mevzuat ile uluslararası standartlara ve Bölge tarafından belirlenecek kriterlere uygun şekilde depolayacağını, kullanacağını, kullanıma hazır tutacağını, yangın ve diğer acil durum planları hazırlayarak, mevzuat ve standartlar kapsamında gerekli tüm önlem ve izinleri alacağını, bu tür malzemeleri bulundurması ve/veya kullanması sebebiyle parselde meydana gelebilecek her türlü felaket nedeniyle doğacak zarar ve ziyandan sorumlu olduğunu, doğabilecek her türlü zarar ve ziyandan dolayı herhangi bir şekilde Bölge Müdürlüğü’nü ve Yönetim Kurulu’nu sorumlu tutmayacağını ve Bölgeden her ne nam altında olursa olsun hak, alacak ve/veya tazminat talebinde bulunmayacağını, Çevresel Etki Değerlendirmesi Yönetmeliği gereğince; faaliyete ilişkin olarak ÇED Yönetmeliği Kapsamında değerlendirme yazısını sunacağını, Çevre İzin ve Lisans Yönetmeliği gereğince; faaliyete ilişkin olarak Çevre İzni/Muafiyet Yazısı’ nı sunacağını, Tesisten çıkan endüstriyel atık suyun Bölge kanalizasyon sistemine verilmeksizin tesis içinde yeniden kullanılabilirliğine ilişkin teknik çalışmayı yapacağını ve atık suyun yeniden kullanımı durumunda; Çevre ve Şehircilik Bakanlığı’nın 2014/7 sayılı Atıksu Arıtma /Derin Deniz Deşarjı Tesisi Proje Onayı Genelgesi gereğince, “Teknik Uygunluk Raporu” hazırlatarak onayına sunacağını, Endüstriyel atık suyun yeniden kullanımı mümkün değilse; ön arıtma tesisi kuracağını ve OSB Kanalizasyon Sistemine Deşarj Standartlarını sağlayarak atıksuyu deşarj edeceğini ve ön arıtma tesisine ilişkin proje raporunu bölge yönetimi onayına sunacağını, ayrıca tesisten kaynaklanan atıksuyun debi ve kirlilik yükünün izlenebilmesi amacıyla bölge yönetimince gerekli görülen izleme ve ölçüm sistemlerini kuracağını, tesisten çıkacak sıvı atıkları hiçbir koşulda kanalizasyon sistemine deşarj etmeyeceğini bu atıkları lisanslı bertaraf tesislerine göndereceğini, Atık Yönetimi Yönetmeliği çerçevesinde, tesisten çıkan tüm atıkların lisanslı bertaraf/ geri kazanım tesislerine göndereceğini ve buna ilişkin beyan ve taşıma formlarının düzenli olarak Bölge Müdürlüğünüze ibraz edileceğini, Yürütülecek faaliyetten kaynaklanan emisyonu uygun filtre sistemlerinden geçirerek emisyon değerlerinin Sanayi Kaynaklı Hava Kirliğinin Kontrolü Yönetmeliği’ne ve Koku Oluşturan Emisyonların Kontrolü Yönetmeliği’ne uygunluğunu sağlayacağını, çevre mevzuatına uygunluğun sağlanması ve sürekli takibi için Çevre Danışmanlık Hizmeti alacağını ya da Çevre Yönetim Birimi kuracağını, çevre mevzuatı kapsamında yürütülen tüm iş ve işlemleri bölge yönetimine aylık olarak yazılı raporlayacağını, üstyapı, harfiyat, şev, istinat duvarı, gibi üstyapı giderlerini karşılayacağını, ön tahsis bedeli haricinde, kamulaştırma sonucunda çıkabilecek farkları ödemeyi, yapılan yatırımın sonucunda ihtiyaç duyulan osb bünyesinde yeterli görülmeyen elektirik, su, arıtma gibi ihtiyaçlarının tamamını kendisinin karşılayacağını, altyapı inşaat bedelinin bakanlık kredisi veya osb uhdesinde yapılan işlerin osb tarafından rücu edilen ödemelerini tam ve eksiksiz yapacağını, p</w:t>
      </w:r>
      <w:r w:rsidRPr="00000000">
        <w:rPr>
          <w:rtl w:val="0"/>
        </w:rPr>
        <w:t>arselin durumuna göre ruhsata, ruhsat eki etüt ve projelere, standartlara, teknik şartnamelere ve ilgili yönetmeliklere uygun olarak gerekli istinat duvarını inşa edeceğimi, istinat duvarı tamamlanana kadar gerekli şev stabilizesini sağlayacağımı, oluşabilecek her türlü aksi durumda bütün sorumluluğu üstleneceğimi, bölgenin durumuna göre inşaat süresince çıkacak hafriyatı ve inşaat atıklarını, “Hafriyat Toprağı, İnşaat ve Yıkıntı Atıklarının Kontrolü Yönetmeliği” hükümlerine göre Elmadağ Belediyesinden alacağım Hafriyat Toprağı ve İnşaat-Yıkıntı Atıkları Taşıma ve Kabul Belgesi’nin bir nüshasını EMİOSB Bölge Müdürlüğüne teslim edeceğimi</w:t>
      </w:r>
      <w:r w:rsidRPr="00000000">
        <w:rPr>
          <w:rFonts w:ascii="Calibri" w:eastAsia="Calibri" w:hAnsi="Calibri" w:cs="Calibri"/>
          <w:rtl w:val="0"/>
        </w:rPr>
        <w:t xml:space="preserve">, </w:t>
      </w:r>
      <w:r w:rsidRPr="00000000">
        <w:rPr>
          <w:rtl w:val="0"/>
        </w:rPr>
        <w:t>parsel sınırlarımız içerisindeki güvenliği ve kontrolü 24 saat sağlayacağımızı bu hususta meydana gelecek bir kusur ve ihmalden dolayı EMİOSB Güvenliğini sorumlu tutmayacağımızı, EMİOSB genel güvenlik ve hizmet uygulamalarına şantiye personelimizin harfiyen uymalarını sağlayacağımızı</w:t>
      </w:r>
      <w:r w:rsidRPr="00000000">
        <w:rPr>
          <w:rtl w:val="0"/>
        </w:rPr>
        <w:t xml:space="preserve"> kabul beyan ve taahhüt etmektedir.</w:t>
      </w:r>
    </w:p>
    <w:p w:rsidR="00000000" w:rsidRPr="00000000" w:rsidP="00000000">
      <w:pPr>
        <w:jc w:val="both"/>
      </w:pPr>
      <w:r w:rsidRPr="00000000">
        <w:rPr>
          <w:rtl w:val="0"/>
        </w:rPr>
        <w:t xml:space="preserve"> </w:t>
      </w:r>
    </w:p>
    <w:p w:rsidR="00000000" w:rsidRPr="00000000" w:rsidP="00000000">
      <w:pPr>
        <w:jc w:val="both"/>
        <w:rPr>
          <w:b/>
        </w:rPr>
      </w:pPr>
      <w:r w:rsidRPr="00000000">
        <w:rPr>
          <w:b/>
          <w:rtl w:val="0"/>
        </w:rPr>
        <w:t>MADDE 9</w:t>
      </w:r>
      <w:r w:rsidRPr="00000000">
        <w:rPr>
          <w:rtl w:val="0"/>
        </w:rPr>
        <w:t xml:space="preserve">- </w:t>
      </w:r>
      <w:r w:rsidRPr="00000000">
        <w:rPr>
          <w:b/>
          <w:rtl w:val="0"/>
        </w:rPr>
        <w:t>TAHSİSLERİN İPTALİ</w:t>
      </w:r>
    </w:p>
    <w:p w:rsidR="00000000" w:rsidRPr="00000000" w:rsidP="00000000">
      <w:pPr>
        <w:jc w:val="both"/>
      </w:pPr>
      <w:r w:rsidRPr="00000000">
        <w:rPr>
          <w:rtl w:val="0"/>
        </w:rPr>
        <w:t>Yatırımcının, iflas hali dahil yatırıma devam etmediğinin, mücbir sebepler hariç organize sanayi bölgesi tarafından öngörülen sürede yatırımı tamamlamadığının, bedelsiz olarak tahsis edilen parsel ile ilgili olarak yapılan denetimler ve düzenlenen raporlar sonucunda, 4562 sayılı Kanunun geçici 9 uncu maddesi kapsamında, ilgili mevzuatta 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w:t>
      </w:r>
    </w:p>
    <w:p w:rsidR="00000000" w:rsidRPr="00000000" w:rsidP="00000000">
      <w:pPr>
        <w:jc w:val="both"/>
      </w:pPr>
    </w:p>
    <w:p w:rsidR="00000000" w:rsidRPr="00000000" w:rsidP="00000000">
      <w:pPr>
        <w:jc w:val="both"/>
        <w:rPr>
          <w:b/>
        </w:rPr>
      </w:pPr>
      <w:r w:rsidRPr="00000000">
        <w:rPr>
          <w:b/>
          <w:rtl w:val="0"/>
        </w:rPr>
        <w:t>MADDE 10- HAFRİYAT SIRASINDA BULUNACAK KÜLTÜR VARLIKLARININ MÜLKİ AMİRLİĞE BİLDİRME YÜKÜMLÜLÜĞÜ</w:t>
      </w:r>
    </w:p>
    <w:p w:rsidR="00000000" w:rsidRPr="00000000" w:rsidP="00000000">
      <w:pPr>
        <w:jc w:val="both"/>
      </w:pPr>
      <w:r w:rsidRPr="00000000">
        <w:rPr>
          <w:rtl w:val="0"/>
        </w:rPr>
        <w:t>Yatırımcı, inşaat sırasında bulunacak olan taşınır kültür varlıklarını mülki amirliklere bildirmek zorundadır.</w:t>
      </w:r>
    </w:p>
    <w:p w:rsidR="00000000" w:rsidRPr="00000000" w:rsidP="00000000">
      <w:pPr>
        <w:jc w:val="both"/>
      </w:pPr>
    </w:p>
    <w:p w:rsidR="00000000" w:rsidRPr="00000000" w:rsidP="00000000">
      <w:pPr>
        <w:jc w:val="both"/>
        <w:rPr>
          <w:b/>
        </w:rPr>
      </w:pPr>
      <w:r w:rsidRPr="00000000">
        <w:rPr>
          <w:b/>
          <w:rtl w:val="0"/>
        </w:rPr>
        <w:t>MADDE 11-</w:t>
      </w:r>
      <w:r w:rsidRPr="00000000">
        <w:rPr>
          <w:rtl w:val="0"/>
        </w:rPr>
        <w:t xml:space="preserve"> </w:t>
      </w:r>
      <w:r w:rsidRPr="00000000">
        <w:rPr>
          <w:b/>
          <w:rtl w:val="0"/>
        </w:rPr>
        <w:t>DİĞER HÜKÜMLER</w:t>
      </w:r>
    </w:p>
    <w:p w:rsidR="00000000" w:rsidRPr="00000000" w:rsidP="00000000">
      <w:pPr>
        <w:jc w:val="both"/>
      </w:pPr>
      <w:r w:rsidRPr="00000000">
        <w:rPr>
          <w:rtl w:val="0"/>
        </w:rPr>
        <w:t>Bu taahhütnamede yer almayan hususlarda Organize Sanayi Bölgeleri Kanunu ve Uygulama Yönetmeliği hükümleri geçerlidir. Yatırımcı, işbu taahhütnamede mevcut ve mevzuattan kaynaklanan tüm yükümlülüklerini herhangi bir ihtara gerek kalmaksızın ifa edeceğini, işbu yükümlülüklerin herhangi birinin yerine getirilmemesi halinde OSB yönetimi tarafından elektrik, su, doğalgaz kesintisi yapılabileceğini kabul, beyan ve taahhüt ettiğini ve arsa tahsisinin iptali dahil OSB tarafından mevzuat gereği her türlü cezai ve hukuki yaptırımın uygulanabileceği hususunda bilgi sahibi olduğunu beyan ve kabul etmektedir.</w:t>
      </w:r>
    </w:p>
    <w:p w:rsidR="00000000" w:rsidRPr="00000000" w:rsidP="00000000">
      <w:pPr>
        <w:jc w:val="both"/>
      </w:pPr>
      <w:r w:rsidRPr="00000000">
        <w:rPr>
          <w:rtl w:val="0"/>
        </w:rPr>
        <w:t xml:space="preserve">YUKARIDAKİ ESAS, KOŞUL, KURAL VE YÖNTEMLERE UYACAĞIMI VE YERİNE GETİRECEĞİMİ, YATIRIM BİLGİ FORMUNDAKİ BİLGİLERİN DOĞRULUĞUNU TAAHHÜT EDERİM. </w:t>
      </w:r>
    </w:p>
    <w:p w:rsidR="00000000" w:rsidRPr="00000000" w:rsidP="00000000">
      <w:pPr>
        <w:jc w:val="both"/>
        <w:rPr>
          <w:sz w:val="24"/>
          <w:szCs w:val="24"/>
        </w:rPr>
      </w:pPr>
      <w:r w:rsidRPr="00000000">
        <w:rPr>
          <w:sz w:val="24"/>
          <w:szCs w:val="24"/>
          <w:rtl w:val="0"/>
        </w:rPr>
        <w:t xml:space="preserve"> </w:t>
      </w:r>
    </w:p>
    <w:p w:rsidR="00000000" w:rsidRPr="00000000" w:rsidP="00000000">
      <w:pPr>
        <w:rPr>
          <w:sz w:val="24"/>
          <w:szCs w:val="24"/>
        </w:rPr>
      </w:pPr>
      <w:r w:rsidRPr="00000000">
        <w:rPr>
          <w:sz w:val="24"/>
          <w:szCs w:val="24"/>
          <w:rtl w:val="0"/>
        </w:rPr>
        <w:t xml:space="preserve"> </w:t>
      </w:r>
    </w:p>
    <w:p w:rsidR="00000000" w:rsidRPr="00000000" w:rsidP="00000000">
      <w:pPr>
        <w:ind w:left="4240" w:firstLine="0"/>
        <w:jc w:val="center"/>
        <w:rPr>
          <w:b/>
          <w:sz w:val="24"/>
          <w:szCs w:val="24"/>
        </w:rPr>
      </w:pPr>
      <w:r w:rsidRPr="00000000">
        <w:rPr>
          <w:b/>
          <w:sz w:val="24"/>
          <w:szCs w:val="24"/>
          <w:rtl w:val="0"/>
        </w:rPr>
        <w:t>TAAHHÜT EDEN</w:t>
      </w:r>
    </w:p>
    <w:p w:rsidR="00000000" w:rsidRPr="00000000" w:rsidP="00000000">
      <w:pPr>
        <w:ind w:left="4240" w:firstLine="0"/>
        <w:jc w:val="center"/>
        <w:rPr>
          <w:b/>
          <w:sz w:val="24"/>
          <w:szCs w:val="24"/>
        </w:rPr>
      </w:pPr>
      <w:r w:rsidRPr="00000000">
        <w:rPr>
          <w:b/>
          <w:sz w:val="24"/>
          <w:szCs w:val="24"/>
          <w:rtl w:val="0"/>
        </w:rPr>
        <w:t>(Kişi veya Yetkili Temsilcisi Tüzel Kişilerin Unvanı)</w:t>
      </w:r>
    </w:p>
    <w:p w:rsidR="00000000" w:rsidRPr="00000000" w:rsidP="00000000">
      <w:pPr>
        <w:ind w:left="4240" w:firstLine="0"/>
        <w:jc w:val="center"/>
        <w:rPr>
          <w:b/>
          <w:sz w:val="24"/>
          <w:szCs w:val="24"/>
        </w:rPr>
      </w:pPr>
      <w:r w:rsidRPr="00000000">
        <w:rPr>
          <w:b/>
          <w:sz w:val="24"/>
          <w:szCs w:val="24"/>
          <w:rtl w:val="0"/>
        </w:rPr>
        <w:t>İmza/Kaşe</w:t>
      </w:r>
    </w:p>
    <w:p w:rsidR="00000000" w:rsidRPr="00000000" w:rsidP="00000000">
      <w:pPr>
        <w:rPr>
          <w:sz w:val="24"/>
          <w:szCs w:val="24"/>
        </w:rPr>
      </w:pPr>
      <w:r w:rsidRPr="00000000">
        <w:rPr>
          <w:sz w:val="24"/>
          <w:szCs w:val="24"/>
          <w:rtl w:val="0"/>
        </w:rPr>
        <w:t xml:space="preserve"> </w:t>
      </w:r>
    </w:p>
    <w:p w:rsidR="00000000" w:rsidRPr="00000000" w:rsidP="00000000">
      <w:pPr>
        <w:rPr>
          <w:sz w:val="24"/>
          <w:szCs w:val="24"/>
        </w:rPr>
      </w:pPr>
      <w:r w:rsidRPr="00000000">
        <w:rPr>
          <w:sz w:val="24"/>
          <w:szCs w:val="24"/>
          <w:rtl w:val="0"/>
        </w:rPr>
        <w:t xml:space="preserve"> </w:t>
      </w:r>
    </w:p>
    <w:p w:rsidR="00000000" w:rsidRPr="00000000" w:rsidP="00000000">
      <w:pPr>
        <w:rPr>
          <w:sz w:val="24"/>
          <w:szCs w:val="24"/>
        </w:rPr>
      </w:pPr>
      <w:r w:rsidRPr="00000000">
        <w:rPr>
          <w:sz w:val="24"/>
          <w:szCs w:val="24"/>
          <w:rtl w:val="0"/>
        </w:rPr>
        <w:t xml:space="preserve"> </w:t>
      </w:r>
    </w:p>
    <w:p w:rsidR="00000000" w:rsidRPr="00000000" w:rsidP="00000000">
      <w:pPr>
        <w:rPr>
          <w:sz w:val="24"/>
          <w:szCs w:val="24"/>
        </w:rPr>
      </w:pPr>
      <w:r w:rsidRPr="00000000">
        <w:rPr>
          <w:sz w:val="24"/>
          <w:szCs w:val="24"/>
          <w:rtl w:val="0"/>
        </w:rPr>
        <w:t xml:space="preserve"> </w:t>
      </w:r>
    </w:p>
    <w:p w:rsidR="00000000" w:rsidRPr="00000000" w:rsidP="00000000"/>
    <w:sectPr>
      <w:pgSz w:w="11909" w:h="16834"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spacing w:before="400" w:after="120" w:line="240" w:lineRule="auto"/>
      <w:outlineLvl w:val="0"/>
    </w:pPr>
    <w:rPr>
      <w:sz w:val="40"/>
      <w:szCs w:val="40"/>
    </w:rPr>
  </w:style>
  <w:style w:type="paragraph" w:styleId="Heading2">
    <w:name w:val="heading 2"/>
    <w:basedOn w:val="Normal0"/>
    <w:next w:val="Normal0"/>
    <w:pPr>
      <w:keepNext/>
      <w:keepLines/>
      <w:spacing w:before="360" w:after="120" w:line="240" w:lineRule="auto"/>
      <w:outlineLvl w:val="1"/>
    </w:pPr>
    <w:rPr>
      <w:sz w:val="32"/>
      <w:szCs w:val="32"/>
    </w:rPr>
  </w:style>
  <w:style w:type="paragraph" w:styleId="Heading3">
    <w:name w:val="heading 3"/>
    <w:basedOn w:val="Normal0"/>
    <w:next w:val="Normal0"/>
    <w:pPr>
      <w:keepNext/>
      <w:keepLines/>
      <w:spacing w:before="320" w:after="80" w:line="240" w:lineRule="auto"/>
      <w:outlineLvl w:val="2"/>
    </w:pPr>
    <w:rPr>
      <w:color w:val="434343"/>
      <w:sz w:val="28"/>
      <w:szCs w:val="28"/>
    </w:rPr>
  </w:style>
  <w:style w:type="paragraph" w:styleId="Heading4">
    <w:name w:val="heading 4"/>
    <w:basedOn w:val="Normal0"/>
    <w:next w:val="Normal0"/>
    <w:pPr>
      <w:keepNext/>
      <w:keepLines/>
      <w:spacing w:before="280" w:after="80" w:line="240" w:lineRule="auto"/>
      <w:outlineLvl w:val="3"/>
    </w:pPr>
    <w:rPr>
      <w:color w:val="666666"/>
      <w:sz w:val="24"/>
      <w:szCs w:val="24"/>
    </w:rPr>
  </w:style>
  <w:style w:type="paragraph" w:styleId="Heading5">
    <w:name w:val="heading 5"/>
    <w:basedOn w:val="Normal0"/>
    <w:next w:val="Normal0"/>
    <w:pPr>
      <w:keepNext/>
      <w:keepLines/>
      <w:spacing w:before="240" w:after="80" w:line="240" w:lineRule="auto"/>
      <w:outlineLvl w:val="4"/>
    </w:pPr>
    <w:rPr>
      <w:color w:val="666666"/>
    </w:rPr>
  </w:style>
  <w:style w:type="paragraph" w:styleId="Heading6">
    <w:name w:val="heading 6"/>
    <w:basedOn w:val="Normal0"/>
    <w:next w:val="Normal0"/>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
    <w:next w:val="Normal0"/>
    <w:pPr>
      <w:keepNext/>
      <w:keepLines/>
      <w:spacing w:after="60" w:line="240" w:lineRule="auto"/>
    </w:pPr>
    <w:rPr>
      <w:sz w:val="52"/>
      <w:szCs w:val="52"/>
    </w:rPr>
  </w:style>
  <w:style w:type="paragraph" w:customStyle="1" w:styleId="Normal0">
    <w:name w:val="Normal_0"/>
    <w:qFormat/>
  </w:style>
  <w:style w:type="paragraph" w:customStyle="1" w:styleId="Heading10">
    <w:name w:val="Heading 1_0"/>
    <w:basedOn w:val="Normal0"/>
    <w:next w:val="Normal0"/>
    <w:uiPriority w:val="9"/>
    <w:qFormat/>
    <w:pPr>
      <w:keepNext/>
      <w:keepLines/>
      <w:spacing w:before="400" w:after="120"/>
      <w:outlineLvl w:val="0"/>
    </w:pPr>
    <w:rPr>
      <w:sz w:val="40"/>
      <w:szCs w:val="40"/>
    </w:rPr>
  </w:style>
  <w:style w:type="paragraph" w:customStyle="1" w:styleId="Heading20">
    <w:name w:val="Heading 2_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_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_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_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_0"/>
    <w:basedOn w:val="Normal0"/>
    <w:next w:val="Normal0"/>
    <w:uiPriority w:val="9"/>
    <w:semiHidden/>
    <w:unhideWhenUsed/>
    <w:qFormat/>
    <w:pPr>
      <w:keepNext/>
      <w:keepLines/>
      <w:spacing w:before="240" w:after="80"/>
      <w:outlineLvl w:val="5"/>
    </w:pPr>
    <w:rPr>
      <w:i/>
      <w:color w:val="666666"/>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TableNormal1">
    <w:name w:val="Table Normal_1"/>
    <w:tblPr>
      <w:tblCellMar>
        <w:top w:w="0" w:type="dxa"/>
        <w:left w:w="0" w:type="dxa"/>
        <w:bottom w:w="0" w:type="dxa"/>
        <w:right w:w="0" w:type="dxa"/>
      </w:tblCellMar>
    </w:tblPr>
  </w:style>
  <w:style w:type="paragraph" w:customStyle="1" w:styleId="Title0">
    <w:name w:val="Title_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_0"/>
    <w:basedOn w:val="Normal0"/>
    <w:next w:val="Normal0"/>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cxcgMdkAvqRXTI8O9HTP+HdA==">CgMxLjA4AHIhMWhHYmVZaXhqVnZ5ZmlCczVEeGhDaTYzU18tX1NMSFVB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2023-02-22T08:52:00Z</dcterms:created>
</cp:coreProperties>
</file>